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30094C5" w:rsidR="00A27829" w:rsidRPr="00392B79" w:rsidRDefault="00705307" w:rsidP="00A27829">
      <w:pPr>
        <w:pStyle w:val="Head"/>
        <w:rPr>
          <w:lang w:val="fr-FR"/>
        </w:rPr>
      </w:pPr>
      <w:r>
        <w:rPr>
          <w:lang w:val="es-ES"/>
        </w:rPr>
        <w:t>Hamm │Smart Compact en el movimiento de tierras: compactación automática hasta el valor objetivo</w:t>
      </w:r>
    </w:p>
    <w:p w14:paraId="26F0996C" w14:textId="59CB0D14" w:rsidR="00A46F1E" w:rsidRPr="00392B79" w:rsidRDefault="004A2774" w:rsidP="00881E44">
      <w:pPr>
        <w:pStyle w:val="Subhead"/>
        <w:rPr>
          <w:lang w:val="fr-FR"/>
        </w:rPr>
      </w:pPr>
      <w:r>
        <w:rPr>
          <w:bCs/>
          <w:iCs w:val="0"/>
          <w:lang w:val="es-ES"/>
        </w:rPr>
        <w:t>Los compactadores VA Hamm, garantía de calidad y procesos seguros</w:t>
      </w:r>
    </w:p>
    <w:p w14:paraId="193790FB" w14:textId="66DF6666" w:rsidR="00A46F1E" w:rsidRPr="00392B79" w:rsidRDefault="000F772C" w:rsidP="000F772C">
      <w:pPr>
        <w:pStyle w:val="Teaser"/>
        <w:rPr>
          <w:lang w:val="fr-FR"/>
        </w:rPr>
      </w:pPr>
      <w:r>
        <w:rPr>
          <w:bCs/>
          <w:lang w:val="es-ES"/>
        </w:rPr>
        <w:t>Con el HC 200i C VA y el HC 250i C VA de 20 y 25 t de peso, el fabricante de rodillos Hamm ofrece ahora compactadores que permiten una compactación automática en función de las características del suelo y la capacidad de carga utilizada de las máquinas. Los modelos están disponibles en principio en los países con la norma de emisiones EU Stage V/EPA Tier 4f, y otros países seguirán sus pasos. El acrónimo «VA» significa «Variable Amplitude». Un componente importante de esta tecnología de Hamm es el también nuevo Smart Compaction Value (SCV) independiente de los parámetros.</w:t>
      </w:r>
    </w:p>
    <w:p w14:paraId="4739B616" w14:textId="781DC922" w:rsidR="00FD7637" w:rsidRPr="00392B79" w:rsidRDefault="000F772C" w:rsidP="00C544ED">
      <w:pPr>
        <w:pStyle w:val="Standardabsatz"/>
        <w:rPr>
          <w:lang w:val="fr-FR"/>
        </w:rPr>
      </w:pPr>
      <w:r>
        <w:rPr>
          <w:lang w:val="es-ES"/>
        </w:rPr>
        <w:t>En la familia de productos Smart Compaction, Hamm está desarrollando diversas soluciones para una compactación inteligente y sencilla. En los nuevos modelos de la serie HC con tambor de ajuste VA se ha implementado un nuevo paso de desarrollo que automatiza y simplifica la compactación en el movimiento de tierras incrementando la calidad y la rentabilidad. Tras la exitosa introducción de Smart Compact para la construcción de asfalto en Bauma 2022, Hamm ofrece ahora también la solución correspondiente para el movimiento de tierras.</w:t>
      </w:r>
    </w:p>
    <w:p w14:paraId="630F689A" w14:textId="7B1325F1" w:rsidR="00FD7637" w:rsidRPr="00392B79" w:rsidRDefault="00CB4B15" w:rsidP="00FD7637">
      <w:pPr>
        <w:pStyle w:val="Absatzberschrift"/>
        <w:rPr>
          <w:lang w:val="fr-FR"/>
        </w:rPr>
      </w:pPr>
      <w:r>
        <w:rPr>
          <w:bCs/>
          <w:lang w:val="es-ES"/>
        </w:rPr>
        <w:t>Smart Compact para el movimiento de tierras: sencillo y preciso</w:t>
      </w:r>
    </w:p>
    <w:p w14:paraId="2EECBAB9" w14:textId="1E95729A" w:rsidR="00D3069A" w:rsidRPr="00392B79" w:rsidRDefault="0046322A" w:rsidP="00C947C8">
      <w:pPr>
        <w:pStyle w:val="Absatzberschrift"/>
        <w:jc w:val="both"/>
        <w:rPr>
          <w:b w:val="0"/>
          <w:lang w:val="fr-FR"/>
        </w:rPr>
      </w:pPr>
      <w:r>
        <w:rPr>
          <w:b w:val="0"/>
          <w:lang w:val="es-ES"/>
        </w:rPr>
        <w:t>Los conductores pueden comprender rápido el modo de funcionamiento de la compactación automática, ya que en su trabajo diario en las obras pueden elegir entre un modo automático y un modo manual. Mientras que en el modo automático se regula la amplitud a través del sistema de control de la máquina, en el modo manual el conductor puede elegir entre cinco amplitudes fijas. En este sentido, el manejo se realiza a través del ya conocido display Easy Drive. Además, antes de iniciar la compactación se puede predeterminar un valor objetivo de compactación en MN/m</w:t>
      </w:r>
      <w:r>
        <w:rPr>
          <w:b w:val="0"/>
          <w:vertAlign w:val="superscript"/>
          <w:lang w:val="es-ES"/>
        </w:rPr>
        <w:t>2</w:t>
      </w:r>
      <w:r>
        <w:rPr>
          <w:b w:val="0"/>
          <w:lang w:val="es-ES"/>
        </w:rPr>
        <w:t xml:space="preserve"> orientado a los valores de capacidad de carga típicos. Entonces la compactación se regula en el modo automático a través de Smart Compact hasta que se alcanza el valor objetivo.  Lo decisivo para ello es el valor de compactación Smart Compaction Value (SCV), que también se trata de una novedad. La medición se realiza mediante el Smart Compaction Meter (SCM). Además, el valor de compactación es independiente de magnitudes de influencia esenciales, como p. ej. la velocidad de traslación, el sentido de la marcha o por ejemplo la frecuencia, lo que permite obtener una alta comparabilidad de los valores de medición también en caso de que se utilicen clases de peso distintas. </w:t>
      </w:r>
    </w:p>
    <w:p w14:paraId="62525495" w14:textId="77777777" w:rsidR="00D3069A" w:rsidRPr="00392B79" w:rsidRDefault="00D3069A" w:rsidP="00D34E10">
      <w:pPr>
        <w:pStyle w:val="Absatzberschrift"/>
        <w:rPr>
          <w:lang w:val="fr-FR"/>
        </w:rPr>
      </w:pPr>
    </w:p>
    <w:p w14:paraId="1363C8FC" w14:textId="4AC4287E" w:rsidR="00D34E10" w:rsidRPr="00392B79" w:rsidRDefault="00FD7637" w:rsidP="00D34E10">
      <w:pPr>
        <w:pStyle w:val="Absatzberschrift"/>
        <w:rPr>
          <w:lang w:val="fr-FR"/>
        </w:rPr>
      </w:pPr>
      <w:r>
        <w:rPr>
          <w:bCs/>
          <w:lang w:val="es-ES"/>
        </w:rPr>
        <w:t>Ventajas evidentes en la aplicación</w:t>
      </w:r>
    </w:p>
    <w:p w14:paraId="5545EF8E" w14:textId="31F802FC" w:rsidR="00FD7637" w:rsidRPr="00392B79" w:rsidRDefault="00FD7637" w:rsidP="00FD7637">
      <w:pPr>
        <w:pStyle w:val="Absatzberschrift"/>
        <w:jc w:val="both"/>
        <w:rPr>
          <w:b w:val="0"/>
          <w:lang w:val="fr-FR"/>
        </w:rPr>
      </w:pPr>
      <w:r>
        <w:rPr>
          <w:b w:val="0"/>
          <w:lang w:val="es-ES"/>
        </w:rPr>
        <w:t xml:space="preserve">El uso de los nuevos compactadores VA supone ventajas decisivas para los conductores y las empresas constructoras. Así, la regulación automática no solo permite una compactación homogénea, sino que al mismo tiempo evita con eficacia la sobrecompactación o la desintegración de los granos. Por tanto, los compactadores VA constituyen una solución atractiva también para conductores poco experimentados, </w:t>
      </w:r>
      <w:r>
        <w:rPr>
          <w:b w:val="0"/>
          <w:lang w:val="es-ES"/>
        </w:rPr>
        <w:lastRenderedPageBreak/>
        <w:t>puesto que siempre se consigue un alto nivel de calidad y seguridad de los procesos.  También se incrementa la rentabilidad de los proyectos de construcción gracias al ahorro de pasadas, a la consiguiente reducción en el consumo de diésel y a las menores cargas mecánicas a las que se expone la máquina. A su vez, el menor número de pasadas también conlleva una reducción de las emisiones de CO</w:t>
      </w:r>
      <w:r>
        <w:rPr>
          <w:b w:val="0"/>
          <w:vertAlign w:val="subscript"/>
          <w:lang w:val="es-ES"/>
        </w:rPr>
        <w:t>2</w:t>
      </w:r>
      <w:r>
        <w:rPr>
          <w:b w:val="0"/>
          <w:lang w:val="es-ES"/>
        </w:rPr>
        <w:t xml:space="preserve">. Además, al evitarse con fiabilidad el modo de salto mediante el sistema de control de la máquina se contribuye a una vida útil más larga. Gracias a la regulación directa de la amplitud, la nueva tecnología constituye un sistema integral eficiente desde el punto de vista energético. </w:t>
      </w:r>
    </w:p>
    <w:p w14:paraId="55D0F97D" w14:textId="77777777" w:rsidR="000C1EA4" w:rsidRPr="00392B79" w:rsidRDefault="000C1EA4" w:rsidP="00754B80">
      <w:pPr>
        <w:pStyle w:val="Absatzberschrift"/>
        <w:rPr>
          <w:lang w:val="fr-FR"/>
        </w:rPr>
      </w:pPr>
    </w:p>
    <w:p w14:paraId="69F49D88" w14:textId="51A576BA" w:rsidR="00BD25D1" w:rsidRPr="00392B79" w:rsidRDefault="00D34E10" w:rsidP="00754B80">
      <w:pPr>
        <w:pStyle w:val="Absatzberschrift"/>
        <w:rPr>
          <w:lang w:val="fr-FR"/>
        </w:rPr>
      </w:pPr>
      <w:r>
        <w:rPr>
          <w:bCs/>
          <w:lang w:val="es-ES"/>
        </w:rPr>
        <w:t>Amplio espectro de aplicaciones y altas fuerzas centrífugas</w:t>
      </w:r>
    </w:p>
    <w:p w14:paraId="036B7A9C" w14:textId="12EDACB3" w:rsidR="00705307" w:rsidRPr="00392B79" w:rsidRDefault="00B53336" w:rsidP="00D34E10">
      <w:pPr>
        <w:pStyle w:val="Standardabsatz"/>
        <w:rPr>
          <w:lang w:val="fr-FR"/>
        </w:rPr>
      </w:pPr>
      <w:r>
        <w:rPr>
          <w:lang w:val="es-ES"/>
        </w:rPr>
        <w:t xml:space="preserve">En cuanto a los posibles campos de aplicación, los nuevos compactadores son aptos para compactar suelos cohesivos, arenosos y de grano grueso. Gracias a las altas fuerzas de compactación, los compactadores VA son eficaces también en caso de capas más altas, puesto que así también se reduce el número de pasadas. Por tanto, las máquinas se pueden utilizar de forma flexible. </w:t>
      </w:r>
    </w:p>
    <w:p w14:paraId="79F25335" w14:textId="77777777" w:rsidR="006E1F0E" w:rsidRPr="00392B79" w:rsidRDefault="006E1F0E" w:rsidP="00D34E10">
      <w:pPr>
        <w:pStyle w:val="Standardabsatz"/>
        <w:rPr>
          <w:lang w:val="fr-FR"/>
        </w:rPr>
      </w:pPr>
    </w:p>
    <w:p w14:paraId="31412CCB" w14:textId="5006CEEF" w:rsidR="00E15EBE" w:rsidRPr="00D85055" w:rsidRDefault="00E15EBE" w:rsidP="00E15EBE">
      <w:pPr>
        <w:pStyle w:val="Fotos"/>
      </w:pPr>
      <w:r>
        <w:rPr>
          <w:bCs/>
          <w:lang w:val="es-ES"/>
        </w:rPr>
        <w:t>Fotos:</w:t>
      </w:r>
    </w:p>
    <w:p w14:paraId="50A48089" w14:textId="77777777" w:rsidR="00D85055" w:rsidRDefault="00D85055" w:rsidP="002611FE">
      <w:pPr>
        <w:pStyle w:val="BUbold"/>
      </w:pPr>
      <w:r>
        <w:rPr>
          <w:b w:val="0"/>
          <w:noProof/>
          <w:lang w:val="es-ES"/>
        </w:rPr>
        <w:drawing>
          <wp:inline distT="0" distB="0" distL="0" distR="0" wp14:anchorId="6ED16BDF" wp14:editId="072580B4">
            <wp:extent cx="2404797" cy="138371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p>
    <w:p w14:paraId="20879CE4" w14:textId="3A971244" w:rsidR="002611FE" w:rsidRPr="00D85055" w:rsidRDefault="00B96B03" w:rsidP="002611FE">
      <w:pPr>
        <w:pStyle w:val="BUbold"/>
      </w:pPr>
      <w:r>
        <w:rPr>
          <w:bCs/>
          <w:lang w:val="es-ES"/>
        </w:rPr>
        <w:t>HAMM_Smart Compact soil_01</w:t>
      </w:r>
    </w:p>
    <w:p w14:paraId="47324A88" w14:textId="754F3D6C" w:rsidR="002611FE" w:rsidRPr="00B44A7F" w:rsidRDefault="00B44A7F" w:rsidP="002611FE">
      <w:pPr>
        <w:pStyle w:val="BUnormal"/>
      </w:pPr>
      <w:r>
        <w:rPr>
          <w:lang w:val="es-ES"/>
        </w:rPr>
        <w:t>Nuevos compactadores con Smart Compact: desde ahora, Hamm ofrece con los compactadores HC 200i C VA y HC 250i C VA de 20 y 25 t máquinas que permiten una compactación automática hasta el valor objetivo en el movimiento de tierras.</w:t>
      </w:r>
    </w:p>
    <w:p w14:paraId="29E92010" w14:textId="0DB00985" w:rsidR="00BD25D1" w:rsidRPr="00392B79" w:rsidRDefault="00E4065A" w:rsidP="00BD25D1">
      <w:pPr>
        <w:pStyle w:val="BUbold"/>
        <w:rPr>
          <w:lang w:val="fr-FR"/>
        </w:rPr>
      </w:pPr>
      <w:r>
        <w:rPr>
          <w:b w:val="0"/>
          <w:noProof/>
          <w:lang w:val="es-ES"/>
        </w:rPr>
        <w:drawing>
          <wp:inline distT="0" distB="0" distL="0" distR="0" wp14:anchorId="3569F062" wp14:editId="44C72D51">
            <wp:extent cx="2404797"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7" cy="1383712"/>
                    </a:xfrm>
                    <a:prstGeom prst="rect">
                      <a:avLst/>
                    </a:prstGeom>
                    <a:noFill/>
                    <a:ln>
                      <a:noFill/>
                    </a:ln>
                  </pic:spPr>
                </pic:pic>
              </a:graphicData>
            </a:graphic>
          </wp:inline>
        </w:drawing>
      </w:r>
      <w:r>
        <w:rPr>
          <w:b w:val="0"/>
          <w:lang w:val="es-ES"/>
        </w:rPr>
        <w:br/>
      </w:r>
      <w:r>
        <w:rPr>
          <w:bCs/>
          <w:lang w:val="es-ES"/>
        </w:rPr>
        <w:t>HAMM_Smart Compact soil_02</w:t>
      </w:r>
    </w:p>
    <w:p w14:paraId="4706AC94" w14:textId="3306BD2F" w:rsidR="00294558" w:rsidRPr="00392B79" w:rsidRDefault="007B0A63" w:rsidP="00B225F4">
      <w:pPr>
        <w:pStyle w:val="Note"/>
        <w:spacing w:before="0"/>
        <w:rPr>
          <w:i w:val="0"/>
          <w:lang w:val="fr-FR"/>
        </w:rPr>
      </w:pPr>
      <w:r>
        <w:rPr>
          <w:i w:val="0"/>
          <w:lang w:val="es-ES"/>
        </w:rPr>
        <w:t xml:space="preserve">Nuevo tambor para una compactación automatizada: sobre la base del valor de compactación Smart Compaction Value registrado de forma continua y precisa, en el nuevo tambor de ajuste VA de Hamm se orienta continuamente la fuerza de compactación en función de la demanda. </w:t>
      </w:r>
    </w:p>
    <w:p w14:paraId="7F7F8078" w14:textId="77777777" w:rsidR="00294558" w:rsidRPr="00392B79" w:rsidRDefault="00294558" w:rsidP="00294558">
      <w:pPr>
        <w:spacing w:line="280" w:lineRule="atLeast"/>
        <w:rPr>
          <w:rFonts w:eastAsia="Times New Roman"/>
          <w:sz w:val="22"/>
          <w:szCs w:val="22"/>
          <w:lang w:val="fr-FR"/>
        </w:rPr>
      </w:pPr>
      <w:r>
        <w:rPr>
          <w:rFonts w:eastAsia="Times New Roman"/>
          <w:i/>
          <w:iCs/>
          <w:sz w:val="22"/>
          <w:szCs w:val="22"/>
          <w:u w:val="single"/>
          <w:lang w:val="es-ES"/>
        </w:rPr>
        <w:t>Nota:</w:t>
      </w:r>
      <w:r>
        <w:rPr>
          <w:rFonts w:eastAsia="Times New Roman"/>
          <w:i/>
          <w:iCs/>
          <w:sz w:val="22"/>
          <w:szCs w:val="22"/>
          <w:lang w:val="es-ES"/>
        </w:rPr>
        <w:t xml:space="preserve"> Estas fotos sirven únicamente de vista previa. Para la impresión en las publicaciones, emplear las fotos en una resolución de 300 dpi que se encuentran disponibles en la descarga adjunta.</w:t>
      </w:r>
    </w:p>
    <w:tbl>
      <w:tblPr>
        <w:tblStyle w:val="Basic"/>
        <w:tblW w:w="0" w:type="auto"/>
        <w:tblLook w:val="04A0" w:firstRow="1" w:lastRow="0" w:firstColumn="1" w:lastColumn="0" w:noHBand="0" w:noVBand="1"/>
      </w:tblPr>
      <w:tblGrid>
        <w:gridCol w:w="4776"/>
        <w:gridCol w:w="4748"/>
      </w:tblGrid>
      <w:tr w:rsidR="00294558" w:rsidRPr="00294558" w14:paraId="64DCC4A0" w14:textId="77777777" w:rsidTr="00392B79">
        <w:trPr>
          <w:cnfStyle w:val="100000000000" w:firstRow="1" w:lastRow="0" w:firstColumn="0" w:lastColumn="0" w:oddVBand="0" w:evenVBand="0" w:oddHBand="0" w:evenHBand="0" w:firstRowFirstColumn="0" w:firstRowLastColumn="0" w:lastRowFirstColumn="0" w:lastRowLastColumn="0"/>
        </w:trPr>
        <w:tc>
          <w:tcPr>
            <w:tcW w:w="4776" w:type="dxa"/>
            <w:tcBorders>
              <w:top w:val="nil"/>
              <w:left w:val="nil"/>
              <w:bottom w:val="nil"/>
              <w:right w:val="single" w:sz="48" w:space="0" w:color="FFFFFF" w:themeColor="background1"/>
            </w:tcBorders>
          </w:tcPr>
          <w:p w14:paraId="4E07F471" w14:textId="77777777" w:rsidR="00294558" w:rsidRPr="00294558" w:rsidRDefault="00294558" w:rsidP="00294558">
            <w:pPr>
              <w:pBdr>
                <w:bottom w:val="single" w:sz="4" w:space="1" w:color="auto"/>
              </w:pBdr>
              <w:spacing w:after="260" w:line="276" w:lineRule="auto"/>
              <w:contextualSpacing/>
              <w:rPr>
                <w:rFonts w:eastAsia="Times New Roman"/>
                <w:b/>
                <w:sz w:val="22"/>
                <w:szCs w:val="22"/>
              </w:rPr>
            </w:pPr>
            <w:r>
              <w:rPr>
                <w:rFonts w:eastAsia="Times New Roman"/>
                <w:b/>
                <w:bCs/>
                <w:sz w:val="22"/>
                <w:szCs w:val="22"/>
                <w:lang w:val="es-ES"/>
              </w:rPr>
              <w:lastRenderedPageBreak/>
              <w:t xml:space="preserve">Para más información, </w:t>
            </w:r>
          </w:p>
          <w:p w14:paraId="2239773B" w14:textId="77777777" w:rsidR="00294558" w:rsidRPr="00392B79" w:rsidRDefault="00294558" w:rsidP="00294558">
            <w:pPr>
              <w:pBdr>
                <w:bottom w:val="single" w:sz="4" w:space="1" w:color="auto"/>
              </w:pBdr>
              <w:spacing w:after="260" w:line="276" w:lineRule="auto"/>
              <w:contextualSpacing/>
              <w:rPr>
                <w:rFonts w:eastAsia="Times New Roman"/>
                <w:b/>
                <w:caps/>
                <w:sz w:val="22"/>
                <w:szCs w:val="22"/>
                <w:lang w:val="en-US"/>
              </w:rPr>
            </w:pPr>
            <w:r>
              <w:rPr>
                <w:rFonts w:eastAsia="Times New Roman"/>
                <w:b/>
                <w:bCs/>
                <w:sz w:val="22"/>
                <w:szCs w:val="22"/>
                <w:lang w:val="es-ES"/>
              </w:rPr>
              <w:t>póngase en contacto con</w:t>
            </w:r>
            <w:r>
              <w:rPr>
                <w:rFonts w:eastAsia="Times New Roman"/>
                <w:b/>
                <w:bCs/>
                <w:caps/>
                <w:sz w:val="22"/>
                <w:szCs w:val="22"/>
                <w:lang w:val="es-ES"/>
              </w:rPr>
              <w:t>:</w:t>
            </w:r>
          </w:p>
          <w:p w14:paraId="119FE6A8" w14:textId="77777777" w:rsidR="00294558" w:rsidRPr="00392B79" w:rsidRDefault="00294558" w:rsidP="00294558">
            <w:pPr>
              <w:spacing w:line="280" w:lineRule="atLeast"/>
              <w:rPr>
                <w:rFonts w:eastAsia="Times New Roman"/>
                <w:sz w:val="22"/>
                <w:szCs w:val="22"/>
                <w:lang w:val="en-US"/>
              </w:rPr>
            </w:pPr>
            <w:r>
              <w:rPr>
                <w:rFonts w:eastAsia="Times New Roman"/>
                <w:sz w:val="22"/>
                <w:szCs w:val="22"/>
                <w:lang w:val="es-ES"/>
              </w:rPr>
              <w:t>WIRTGEN GROUP</w:t>
            </w:r>
          </w:p>
          <w:p w14:paraId="3E6074CD"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Public Relations</w:t>
            </w:r>
          </w:p>
          <w:p w14:paraId="156DB80A"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Reinhard-Wirtgen-Straße 2</w:t>
            </w:r>
          </w:p>
          <w:p w14:paraId="2D3A09C3"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53578 Windhagen</w:t>
            </w:r>
          </w:p>
          <w:p w14:paraId="2695452C"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Alemania</w:t>
            </w:r>
          </w:p>
          <w:p w14:paraId="478B7FD3" w14:textId="77777777" w:rsidR="00294558" w:rsidRPr="00294558" w:rsidRDefault="00294558" w:rsidP="00294558">
            <w:pPr>
              <w:spacing w:line="280" w:lineRule="atLeast"/>
              <w:rPr>
                <w:rFonts w:eastAsia="Times New Roman"/>
                <w:sz w:val="22"/>
                <w:szCs w:val="22"/>
              </w:rPr>
            </w:pPr>
          </w:p>
          <w:p w14:paraId="4DB3AF7F"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 xml:space="preserve">Teléfono: +49 (0) 2645 131 – 1966 </w:t>
            </w:r>
          </w:p>
          <w:p w14:paraId="01607FEB"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Fax: +49 (0) 2645 131 – 499</w:t>
            </w:r>
          </w:p>
          <w:p w14:paraId="6E18199C"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E-mail: PR@wirtgen-group.com</w:t>
            </w:r>
          </w:p>
          <w:p w14:paraId="2D9B5B34" w14:textId="77777777" w:rsidR="00294558" w:rsidRPr="00294558" w:rsidRDefault="00294558" w:rsidP="00294558">
            <w:pPr>
              <w:spacing w:line="280" w:lineRule="atLeast"/>
              <w:rPr>
                <w:rFonts w:eastAsia="Times New Roman"/>
                <w:sz w:val="22"/>
                <w:szCs w:val="22"/>
              </w:rPr>
            </w:pPr>
            <w:r>
              <w:rPr>
                <w:rFonts w:eastAsia="Times New Roman"/>
                <w:sz w:val="22"/>
                <w:szCs w:val="22"/>
                <w:lang w:val="es-ES"/>
              </w:rPr>
              <w:t>www.wirtgen-group.com</w:t>
            </w:r>
          </w:p>
        </w:tc>
        <w:tc>
          <w:tcPr>
            <w:tcW w:w="4748"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1251" w14:textId="77777777" w:rsidR="002965D8" w:rsidRDefault="002965D8" w:rsidP="00E55534">
      <w:r>
        <w:separator/>
      </w:r>
    </w:p>
  </w:endnote>
  <w:endnote w:type="continuationSeparator" w:id="0">
    <w:p w14:paraId="57AE37D9" w14:textId="77777777" w:rsidR="002965D8" w:rsidRDefault="002965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8E297C7" w:rsidR="00705307" w:rsidRPr="00723F4F" w:rsidRDefault="00705307"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03</w:t>
          </w:r>
          <w:r>
            <w:rPr>
              <w:szCs w:val="20"/>
              <w:lang w:val="es-ES"/>
            </w:rPr>
            <w:fldChar w:fldCharType="end"/>
          </w:r>
        </w:p>
      </w:tc>
    </w:tr>
  </w:tbl>
  <w:p w14:paraId="7CF7D2C8" w14:textId="77777777" w:rsidR="00705307" w:rsidRDefault="00705307">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pPr>
          <w:r>
            <w:rPr>
              <w:rStyle w:val="Hervorhebung"/>
              <w:b w:val="0"/>
              <w:iCs w:val="0"/>
              <w:szCs w:val="20"/>
              <w:lang w:val="es-ES"/>
            </w:rPr>
            <w:t xml:space="preserve">WIRTGEN </w:t>
          </w:r>
          <w:r>
            <w:rPr>
              <w:rStyle w:val="Hervorhebung"/>
              <w:bCs/>
              <w:iCs w:val="0"/>
              <w:szCs w:val="20"/>
              <w:lang w:val="es-ES"/>
            </w:rPr>
            <w:t>GmbH</w:t>
          </w:r>
          <w:r>
            <w:rPr>
              <w:szCs w:val="20"/>
              <w:lang w:val="es-ES"/>
            </w:rPr>
            <w:t xml:space="preserve"> </w:t>
          </w:r>
          <w:r>
            <w:rPr>
              <w:b/>
              <w:bCs/>
              <w:szCs w:val="20"/>
              <w:lang w:val="es-ES"/>
            </w:rPr>
            <w:t xml:space="preserve">· </w:t>
          </w:r>
          <w:r>
            <w:rPr>
              <w:szCs w:val="20"/>
              <w:lang w:val="es-ES"/>
            </w:rPr>
            <w:t>Reinhard-Wirtgen-Str. 2 · D-53578 Windhagen · T: +49 26 45 / 131 0</w:t>
          </w:r>
        </w:p>
      </w:tc>
    </w:tr>
  </w:tbl>
  <w:p w14:paraId="732BEB33" w14:textId="77777777" w:rsidR="00705307" w:rsidRDefault="00705307">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1BBB" w14:textId="77777777" w:rsidR="002965D8" w:rsidRDefault="002965D8" w:rsidP="00E55534">
      <w:r>
        <w:separator/>
      </w:r>
    </w:p>
  </w:footnote>
  <w:footnote w:type="continuationSeparator" w:id="0">
    <w:p w14:paraId="727D2296" w14:textId="77777777" w:rsidR="002965D8" w:rsidRDefault="002965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pPr>
    <w:r>
      <w:rPr>
        <w:noProof/>
        <w:lang w:val="es-ES"/>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pPr>
    <w:r>
      <w:rPr>
        <w:noProof/>
        <w:lang w:val="es-ES"/>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pPr>
    <w:r>
      <w:rPr>
        <w:noProof/>
        <w:lang w:val="es-ES"/>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1EC9"/>
    <w:rsid w:val="00042106"/>
    <w:rsid w:val="0005285B"/>
    <w:rsid w:val="00055529"/>
    <w:rsid w:val="0005589A"/>
    <w:rsid w:val="00062C3A"/>
    <w:rsid w:val="000632F6"/>
    <w:rsid w:val="00066D09"/>
    <w:rsid w:val="00083590"/>
    <w:rsid w:val="0009665C"/>
    <w:rsid w:val="000A0479"/>
    <w:rsid w:val="000A36D9"/>
    <w:rsid w:val="000A4C7D"/>
    <w:rsid w:val="000B1E25"/>
    <w:rsid w:val="000B582B"/>
    <w:rsid w:val="000C1EA4"/>
    <w:rsid w:val="000D15C3"/>
    <w:rsid w:val="000E24F8"/>
    <w:rsid w:val="000E4242"/>
    <w:rsid w:val="000E5738"/>
    <w:rsid w:val="000F35CC"/>
    <w:rsid w:val="000F772C"/>
    <w:rsid w:val="00103205"/>
    <w:rsid w:val="0011795C"/>
    <w:rsid w:val="0012026F"/>
    <w:rsid w:val="00123B61"/>
    <w:rsid w:val="00130601"/>
    <w:rsid w:val="00132055"/>
    <w:rsid w:val="00146C3D"/>
    <w:rsid w:val="00153B47"/>
    <w:rsid w:val="0015401E"/>
    <w:rsid w:val="001613A6"/>
    <w:rsid w:val="001614F0"/>
    <w:rsid w:val="001616F4"/>
    <w:rsid w:val="0018021A"/>
    <w:rsid w:val="001907E5"/>
    <w:rsid w:val="001936A2"/>
    <w:rsid w:val="00194FB1"/>
    <w:rsid w:val="001B16BB"/>
    <w:rsid w:val="001B34EE"/>
    <w:rsid w:val="001C1A3E"/>
    <w:rsid w:val="001C772B"/>
    <w:rsid w:val="001E5AE8"/>
    <w:rsid w:val="001E65CD"/>
    <w:rsid w:val="00200355"/>
    <w:rsid w:val="0021351D"/>
    <w:rsid w:val="00217D6B"/>
    <w:rsid w:val="00253A2E"/>
    <w:rsid w:val="002603EC"/>
    <w:rsid w:val="002611FE"/>
    <w:rsid w:val="002741F7"/>
    <w:rsid w:val="00282AFC"/>
    <w:rsid w:val="00286C15"/>
    <w:rsid w:val="00291A0D"/>
    <w:rsid w:val="00294558"/>
    <w:rsid w:val="0029634D"/>
    <w:rsid w:val="002965D8"/>
    <w:rsid w:val="002A44D4"/>
    <w:rsid w:val="002C7542"/>
    <w:rsid w:val="002D065C"/>
    <w:rsid w:val="002D0780"/>
    <w:rsid w:val="002D2EE5"/>
    <w:rsid w:val="002D5CAF"/>
    <w:rsid w:val="002D63E6"/>
    <w:rsid w:val="002E765F"/>
    <w:rsid w:val="002E7E4E"/>
    <w:rsid w:val="002F108B"/>
    <w:rsid w:val="002F5818"/>
    <w:rsid w:val="002F70FD"/>
    <w:rsid w:val="0030316D"/>
    <w:rsid w:val="0032774C"/>
    <w:rsid w:val="00332D28"/>
    <w:rsid w:val="0034191A"/>
    <w:rsid w:val="00343CC7"/>
    <w:rsid w:val="00353BDC"/>
    <w:rsid w:val="0036561D"/>
    <w:rsid w:val="003665BE"/>
    <w:rsid w:val="00384A08"/>
    <w:rsid w:val="00387E6F"/>
    <w:rsid w:val="00392B79"/>
    <w:rsid w:val="00393EFC"/>
    <w:rsid w:val="003967E5"/>
    <w:rsid w:val="003A753A"/>
    <w:rsid w:val="003B3803"/>
    <w:rsid w:val="003C2A71"/>
    <w:rsid w:val="003D3C63"/>
    <w:rsid w:val="003E1CB6"/>
    <w:rsid w:val="003E3CF6"/>
    <w:rsid w:val="003E759F"/>
    <w:rsid w:val="003E7853"/>
    <w:rsid w:val="003F5737"/>
    <w:rsid w:val="003F57AB"/>
    <w:rsid w:val="00400FD9"/>
    <w:rsid w:val="004016F7"/>
    <w:rsid w:val="00403373"/>
    <w:rsid w:val="00404A46"/>
    <w:rsid w:val="00406C81"/>
    <w:rsid w:val="00412545"/>
    <w:rsid w:val="0041475A"/>
    <w:rsid w:val="00417237"/>
    <w:rsid w:val="00430BB0"/>
    <w:rsid w:val="0044626B"/>
    <w:rsid w:val="0046322A"/>
    <w:rsid w:val="00463B67"/>
    <w:rsid w:val="0046414A"/>
    <w:rsid w:val="0046460D"/>
    <w:rsid w:val="00467F3C"/>
    <w:rsid w:val="0047498D"/>
    <w:rsid w:val="00476100"/>
    <w:rsid w:val="00487BFC"/>
    <w:rsid w:val="004913C0"/>
    <w:rsid w:val="00497D65"/>
    <w:rsid w:val="004A2774"/>
    <w:rsid w:val="004A463B"/>
    <w:rsid w:val="004C1967"/>
    <w:rsid w:val="004D23D0"/>
    <w:rsid w:val="004D2BE0"/>
    <w:rsid w:val="004D37A8"/>
    <w:rsid w:val="004E6EF5"/>
    <w:rsid w:val="00506409"/>
    <w:rsid w:val="005210FB"/>
    <w:rsid w:val="00530E32"/>
    <w:rsid w:val="00533132"/>
    <w:rsid w:val="00537210"/>
    <w:rsid w:val="005649F4"/>
    <w:rsid w:val="005710C8"/>
    <w:rsid w:val="005711A3"/>
    <w:rsid w:val="00571A5C"/>
    <w:rsid w:val="00573B2B"/>
    <w:rsid w:val="005776E9"/>
    <w:rsid w:val="00584CF9"/>
    <w:rsid w:val="00587AD9"/>
    <w:rsid w:val="005909A8"/>
    <w:rsid w:val="005923A1"/>
    <w:rsid w:val="0059530F"/>
    <w:rsid w:val="005A4F04"/>
    <w:rsid w:val="005A5736"/>
    <w:rsid w:val="005B5793"/>
    <w:rsid w:val="005C6B30"/>
    <w:rsid w:val="005C71EC"/>
    <w:rsid w:val="005E764C"/>
    <w:rsid w:val="005E7F7D"/>
    <w:rsid w:val="00603924"/>
    <w:rsid w:val="006063D4"/>
    <w:rsid w:val="00623B37"/>
    <w:rsid w:val="006330A2"/>
    <w:rsid w:val="00642EB6"/>
    <w:rsid w:val="006433E2"/>
    <w:rsid w:val="00651E5D"/>
    <w:rsid w:val="006542B3"/>
    <w:rsid w:val="00677F11"/>
    <w:rsid w:val="00682B1A"/>
    <w:rsid w:val="00690D7C"/>
    <w:rsid w:val="00690DFE"/>
    <w:rsid w:val="006A750A"/>
    <w:rsid w:val="006B3EEC"/>
    <w:rsid w:val="006B689F"/>
    <w:rsid w:val="006C0C87"/>
    <w:rsid w:val="006D6CC6"/>
    <w:rsid w:val="006D7EAC"/>
    <w:rsid w:val="006E0104"/>
    <w:rsid w:val="006E1F0E"/>
    <w:rsid w:val="006F7602"/>
    <w:rsid w:val="0070426D"/>
    <w:rsid w:val="00705307"/>
    <w:rsid w:val="00722A17"/>
    <w:rsid w:val="00723F4F"/>
    <w:rsid w:val="00752355"/>
    <w:rsid w:val="00754B80"/>
    <w:rsid w:val="00755AE0"/>
    <w:rsid w:val="0075761B"/>
    <w:rsid w:val="00757B83"/>
    <w:rsid w:val="00774358"/>
    <w:rsid w:val="00774A5A"/>
    <w:rsid w:val="00781CD2"/>
    <w:rsid w:val="00791A69"/>
    <w:rsid w:val="0079462A"/>
    <w:rsid w:val="00794830"/>
    <w:rsid w:val="00797CAA"/>
    <w:rsid w:val="007A2B6F"/>
    <w:rsid w:val="007A6BD2"/>
    <w:rsid w:val="007B0A63"/>
    <w:rsid w:val="007C2658"/>
    <w:rsid w:val="007C2760"/>
    <w:rsid w:val="007C48B6"/>
    <w:rsid w:val="007D59A2"/>
    <w:rsid w:val="007E03F9"/>
    <w:rsid w:val="007E20D0"/>
    <w:rsid w:val="007E366D"/>
    <w:rsid w:val="007E3DAB"/>
    <w:rsid w:val="008053B3"/>
    <w:rsid w:val="00820315"/>
    <w:rsid w:val="00823073"/>
    <w:rsid w:val="0082316D"/>
    <w:rsid w:val="008236B2"/>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C6B"/>
    <w:rsid w:val="008A437B"/>
    <w:rsid w:val="008C2A29"/>
    <w:rsid w:val="008C2DB2"/>
    <w:rsid w:val="008D1348"/>
    <w:rsid w:val="008D2B87"/>
    <w:rsid w:val="008D770E"/>
    <w:rsid w:val="008E740D"/>
    <w:rsid w:val="0090337E"/>
    <w:rsid w:val="009049D8"/>
    <w:rsid w:val="00910609"/>
    <w:rsid w:val="00915841"/>
    <w:rsid w:val="009328FA"/>
    <w:rsid w:val="00936A78"/>
    <w:rsid w:val="009375E1"/>
    <w:rsid w:val="009405D6"/>
    <w:rsid w:val="00952853"/>
    <w:rsid w:val="009646E4"/>
    <w:rsid w:val="00977EC3"/>
    <w:rsid w:val="00980FB7"/>
    <w:rsid w:val="00981E94"/>
    <w:rsid w:val="0098631D"/>
    <w:rsid w:val="009B17A9"/>
    <w:rsid w:val="009B211F"/>
    <w:rsid w:val="009B7C05"/>
    <w:rsid w:val="009C2378"/>
    <w:rsid w:val="009C5A77"/>
    <w:rsid w:val="009C5D99"/>
    <w:rsid w:val="009D016F"/>
    <w:rsid w:val="009E251D"/>
    <w:rsid w:val="009E770E"/>
    <w:rsid w:val="009F10A8"/>
    <w:rsid w:val="009F715C"/>
    <w:rsid w:val="00A02F49"/>
    <w:rsid w:val="00A171F4"/>
    <w:rsid w:val="00A1772D"/>
    <w:rsid w:val="00A177B2"/>
    <w:rsid w:val="00A21D06"/>
    <w:rsid w:val="00A24EFC"/>
    <w:rsid w:val="00A27829"/>
    <w:rsid w:val="00A46F1E"/>
    <w:rsid w:val="00A66B3F"/>
    <w:rsid w:val="00A66F80"/>
    <w:rsid w:val="00A82395"/>
    <w:rsid w:val="00A841F1"/>
    <w:rsid w:val="00A92314"/>
    <w:rsid w:val="00A9295C"/>
    <w:rsid w:val="00A977CE"/>
    <w:rsid w:val="00AA0DF7"/>
    <w:rsid w:val="00AA405F"/>
    <w:rsid w:val="00AB20D2"/>
    <w:rsid w:val="00AB52F9"/>
    <w:rsid w:val="00AD0C3D"/>
    <w:rsid w:val="00AD131F"/>
    <w:rsid w:val="00AD32D5"/>
    <w:rsid w:val="00AD70E4"/>
    <w:rsid w:val="00AE3B59"/>
    <w:rsid w:val="00AE59AF"/>
    <w:rsid w:val="00AF3B3A"/>
    <w:rsid w:val="00AF4E8E"/>
    <w:rsid w:val="00AF6569"/>
    <w:rsid w:val="00B00747"/>
    <w:rsid w:val="00B06265"/>
    <w:rsid w:val="00B225F4"/>
    <w:rsid w:val="00B44A7F"/>
    <w:rsid w:val="00B5232A"/>
    <w:rsid w:val="00B53336"/>
    <w:rsid w:val="00B60ED1"/>
    <w:rsid w:val="00B62CF5"/>
    <w:rsid w:val="00B72932"/>
    <w:rsid w:val="00B817EA"/>
    <w:rsid w:val="00B85705"/>
    <w:rsid w:val="00B874DC"/>
    <w:rsid w:val="00B90F78"/>
    <w:rsid w:val="00B96B03"/>
    <w:rsid w:val="00BB7A8F"/>
    <w:rsid w:val="00BC095A"/>
    <w:rsid w:val="00BD1058"/>
    <w:rsid w:val="00BD25D1"/>
    <w:rsid w:val="00BD5391"/>
    <w:rsid w:val="00BD764C"/>
    <w:rsid w:val="00BF56B2"/>
    <w:rsid w:val="00C055AB"/>
    <w:rsid w:val="00C11F95"/>
    <w:rsid w:val="00C136DF"/>
    <w:rsid w:val="00C17501"/>
    <w:rsid w:val="00C40627"/>
    <w:rsid w:val="00C43EAF"/>
    <w:rsid w:val="00C457C3"/>
    <w:rsid w:val="00C544ED"/>
    <w:rsid w:val="00C644CA"/>
    <w:rsid w:val="00C658FC"/>
    <w:rsid w:val="00C73005"/>
    <w:rsid w:val="00C84D75"/>
    <w:rsid w:val="00C85E18"/>
    <w:rsid w:val="00C947C8"/>
    <w:rsid w:val="00C950CD"/>
    <w:rsid w:val="00C96E9F"/>
    <w:rsid w:val="00C97E1C"/>
    <w:rsid w:val="00CA4A09"/>
    <w:rsid w:val="00CB4B15"/>
    <w:rsid w:val="00CB6729"/>
    <w:rsid w:val="00CB71DD"/>
    <w:rsid w:val="00CC5A63"/>
    <w:rsid w:val="00CC5E3F"/>
    <w:rsid w:val="00CC787C"/>
    <w:rsid w:val="00CF0D1A"/>
    <w:rsid w:val="00CF36C9"/>
    <w:rsid w:val="00D001E6"/>
    <w:rsid w:val="00D00EC4"/>
    <w:rsid w:val="00D166AC"/>
    <w:rsid w:val="00D3069A"/>
    <w:rsid w:val="00D34E10"/>
    <w:rsid w:val="00D36BA2"/>
    <w:rsid w:val="00D37CF4"/>
    <w:rsid w:val="00D4487C"/>
    <w:rsid w:val="00D478AD"/>
    <w:rsid w:val="00D63D33"/>
    <w:rsid w:val="00D73352"/>
    <w:rsid w:val="00D85055"/>
    <w:rsid w:val="00D87E86"/>
    <w:rsid w:val="00D935C3"/>
    <w:rsid w:val="00DA0266"/>
    <w:rsid w:val="00DA3C1F"/>
    <w:rsid w:val="00DA477E"/>
    <w:rsid w:val="00DB4BB0"/>
    <w:rsid w:val="00DB5D40"/>
    <w:rsid w:val="00DE461D"/>
    <w:rsid w:val="00E03C63"/>
    <w:rsid w:val="00E04039"/>
    <w:rsid w:val="00E14608"/>
    <w:rsid w:val="00E15EBE"/>
    <w:rsid w:val="00E2015A"/>
    <w:rsid w:val="00E21E67"/>
    <w:rsid w:val="00E30EBF"/>
    <w:rsid w:val="00E316C0"/>
    <w:rsid w:val="00E31E03"/>
    <w:rsid w:val="00E4065A"/>
    <w:rsid w:val="00E451CD"/>
    <w:rsid w:val="00E51170"/>
    <w:rsid w:val="00E52D70"/>
    <w:rsid w:val="00E55534"/>
    <w:rsid w:val="00E7116D"/>
    <w:rsid w:val="00E72429"/>
    <w:rsid w:val="00E914D1"/>
    <w:rsid w:val="00E934AB"/>
    <w:rsid w:val="00E960D8"/>
    <w:rsid w:val="00EB5FCA"/>
    <w:rsid w:val="00EE19B9"/>
    <w:rsid w:val="00F0471D"/>
    <w:rsid w:val="00F048D4"/>
    <w:rsid w:val="00F20920"/>
    <w:rsid w:val="00F23212"/>
    <w:rsid w:val="00F33B16"/>
    <w:rsid w:val="00F353EA"/>
    <w:rsid w:val="00F36C27"/>
    <w:rsid w:val="00F56318"/>
    <w:rsid w:val="00F67C95"/>
    <w:rsid w:val="00F74540"/>
    <w:rsid w:val="00F75B79"/>
    <w:rsid w:val="00F82525"/>
    <w:rsid w:val="00F83989"/>
    <w:rsid w:val="00F91AC4"/>
    <w:rsid w:val="00F97A29"/>
    <w:rsid w:val="00F97FEA"/>
    <w:rsid w:val="00FB0656"/>
    <w:rsid w:val="00FB60E1"/>
    <w:rsid w:val="00FC5340"/>
    <w:rsid w:val="00FD1948"/>
    <w:rsid w:val="00FD3768"/>
    <w:rsid w:val="00FD51E9"/>
    <w:rsid w:val="00FD763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4448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5143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59</cp:revision>
  <cp:lastPrinted>2023-12-12T06:50:00Z</cp:lastPrinted>
  <dcterms:created xsi:type="dcterms:W3CDTF">2023-07-04T12:35:00Z</dcterms:created>
  <dcterms:modified xsi:type="dcterms:W3CDTF">2024-03-07T12:33:00Z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